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pStyle w:val="Heading1"/>
      </w:pPr>
      <w:r>
        <w:rPr>
          <w:b w:val="0"/>
        </w:rPr>
        <w:t>Open Call for All Officer and Finance Committee Statements of Interest</w:t>
      </w:r>
    </w:p>
    <w:p>
      <w:r>
        <w:rPr>
          <w:b w:val="0"/>
        </w:rPr>
        <w:t>Meeting Date: April 24, 2026 Submitted By: Mike Brownell Purpose: Require a public and orderly call for interested members to submit statements of interest for all officer roles under review and at-large Finance Committee service within the next thirty days.</w:t>
      </w:r>
    </w:p>
    <w:p>
      <w:pPr>
        <w:pStyle w:val="Heading2"/>
      </w:pPr>
      <w:r>
        <w:rPr>
          <w:b w:val="0"/>
        </w:rPr>
        <w:t>Requested Board action</w:t>
      </w:r>
    </w:p>
    <w:p>
      <w:r>
        <w:rPr>
          <w:b w:val="0"/>
        </w:rPr>
        <w:t>I move that the Board adopt the following actions.</w:t>
      </w:r>
    </w:p>
    <w:p>
      <w:pPr>
        <w:pStyle w:val="Heading3"/>
      </w:pPr>
      <w:r>
        <w:rPr>
          <w:b w:val="0"/>
        </w:rPr>
        <w:t>Findings</w:t>
      </w:r>
    </w:p>
    <w:p>
      <w:r>
        <w:rPr>
          <w:b w:val="0"/>
        </w:rPr>
        <w:t>Whereas the Board governs while officers execute, and Dallas Makerspace functions better when those roles are kept distinct rather than concentrated in the same individuals;</w:t>
      </w:r>
    </w:p>
    <w:p>
      <w:r>
        <w:rPr>
          <w:b w:val="0"/>
        </w:rPr>
        <w:t>Whereas placing sitting Directors into chief-level operational roles makes it harder for members and leaders to know when a person is acting as a governor and when that same person is acting as an operator, which creates avoidable governance confusion and accountability problems;</w:t>
      </w:r>
    </w:p>
    <w:p>
      <w:r>
        <w:rPr>
          <w:b w:val="0"/>
        </w:rPr>
        <w:t>Whereas Dallas Makerspace is better served when chief-level operational roles are ordinarily filled by qualified members who are not sitting Directors, except where a documented short-term continuity need makes a temporary exception necessary.</w:t>
      </w:r>
    </w:p>
    <w:p>
      <w:pPr>
        <w:pStyle w:val="Heading3"/>
      </w:pPr>
      <w:r>
        <w:rPr>
          <w:b w:val="0"/>
        </w:rPr>
        <w:t>Motion</w:t>
      </w:r>
    </w:p>
    <w:p>
      <w:pPr>
        <w:pStyle w:val="ListNumber"/>
      </w:pPr>
      <w:r>
        <w:rPr>
          <w:b w:val="0"/>
        </w:rPr>
        <w:t>The President and Secretary shall publish, within seven days of adoption of this motion, an open call to the membership for statements of interest for all officer roles and at-large Finance Committee seats the incoming Board intends to review and fill.</w:t>
      </w:r>
    </w:p>
    <w:p>
      <w:pPr>
        <w:pStyle w:val="ListNumber"/>
      </w:pPr>
      <w:r>
        <w:rPr>
          <w:b w:val="0"/>
        </w:rPr>
        <w:t>The open call shall explicitly identify the following officer roles for review and selection by the incoming Board:</w:t>
      </w:r>
    </w:p>
    <w:p>
      <w:r>
        <w:rPr>
          <w:b w:val="0"/>
        </w:rPr>
        <w:t>a. President;</w:t>
      </w:r>
    </w:p>
    <w:p>
      <w:r>
        <w:rPr>
          <w:b w:val="0"/>
        </w:rPr>
        <w:t>b. Secretary;</w:t>
      </w:r>
    </w:p>
    <w:p>
      <w:r>
        <w:rPr>
          <w:b w:val="0"/>
        </w:rPr>
        <w:t>c. Treasurer;</w:t>
      </w:r>
    </w:p>
    <w:p>
      <w:r>
        <w:rPr>
          <w:b w:val="0"/>
        </w:rPr>
        <w:t>d. Chief Operations Officer;</w:t>
      </w:r>
    </w:p>
    <w:p>
      <w:r>
        <w:rPr>
          <w:b w:val="0"/>
        </w:rPr>
        <w:t>e. Chief Legal Officer;</w:t>
      </w:r>
    </w:p>
    <w:p>
      <w:r>
        <w:rPr>
          <w:b w:val="0"/>
        </w:rPr>
        <w:t>f. Chief Marketing and Media Officer; and</w:t>
      </w:r>
    </w:p>
    <w:p>
      <w:r>
        <w:rPr>
          <w:b w:val="0"/>
        </w:rPr>
        <w:t>g. Chief Development Officer.</w:t>
      </w:r>
    </w:p>
    <w:p>
      <w:pPr>
        <w:pStyle w:val="ListNumber"/>
      </w:pPr>
      <w:r>
        <w:rPr>
          <w:b w:val="0"/>
        </w:rPr>
        <w:t>The Board shall also review the Chief Technology Officer role as part of the incoming officer-structure review, but because that role was already separately advertised and has at least one respondent, the Board need not duplicate that recruitment in this motion unless it later determines that reopening the call is necessary.</w:t>
      </w:r>
    </w:p>
    <w:p>
      <w:pPr>
        <w:pStyle w:val="ListNumber"/>
      </w:pPr>
      <w:r>
        <w:rPr>
          <w:b w:val="0"/>
        </w:rPr>
        <w:t>The open call shall also invite statements of interest from members who wish to serve as at-large members of the Finance Committee.</w:t>
      </w:r>
    </w:p>
    <w:p>
      <w:pPr>
        <w:pStyle w:val="ListNumber"/>
      </w:pPr>
      <w:r>
        <w:rPr>
          <w:b w:val="0"/>
        </w:rPr>
        <w:t>The open call shall list each role or committee seat by title and include, at minimum:</w:t>
      </w:r>
    </w:p>
    <w:p>
      <w:r>
        <w:rPr>
          <w:b w:val="0"/>
        </w:rPr>
        <w:t>a. a short description of the role;</w:t>
      </w:r>
    </w:p>
    <w:p>
      <w:r>
        <w:rPr>
          <w:b w:val="0"/>
        </w:rPr>
        <w:t>b. the expected duties;</w:t>
      </w:r>
    </w:p>
    <w:p>
      <w:r>
        <w:rPr>
          <w:b w:val="0"/>
        </w:rPr>
        <w:t>c. the reporting relationship;</w:t>
      </w:r>
    </w:p>
    <w:p>
      <w:r>
        <w:rPr>
          <w:b w:val="0"/>
        </w:rPr>
        <w:t>d. the method for submission; and</w:t>
      </w:r>
    </w:p>
    <w:p>
      <w:r>
        <w:rPr>
          <w:b w:val="0"/>
        </w:rPr>
        <w:t>e. the submission deadline.</w:t>
      </w:r>
    </w:p>
    <w:p>
      <w:pPr>
        <w:pStyle w:val="ListNumber"/>
      </w:pPr>
      <w:r>
        <w:rPr>
          <w:b w:val="0"/>
        </w:rPr>
        <w:t>The application window for those officer roles and Finance Committee seats shall remain open for not less than thirty days.</w:t>
      </w:r>
    </w:p>
    <w:p>
      <w:pPr>
        <w:pStyle w:val="ListNumber"/>
      </w:pPr>
      <w:r>
        <w:rPr>
          <w:b w:val="0"/>
        </w:rPr>
        <w:t>Interested members shall be invited to submit a short statement of interest describing:</w:t>
      </w:r>
    </w:p>
    <w:p>
      <w:r>
        <w:rPr>
          <w:b w:val="0"/>
        </w:rPr>
        <w:t>a. the role they seek;</w:t>
      </w:r>
    </w:p>
    <w:p>
      <w:r>
        <w:rPr>
          <w:b w:val="0"/>
        </w:rPr>
        <w:t>b. their relevant qualifications or experience; and</w:t>
      </w:r>
    </w:p>
    <w:p>
      <w:r>
        <w:rPr>
          <w:b w:val="0"/>
        </w:rPr>
        <w:t>c. the direction they would like to help advance for Dallas Makerspace in that role.</w:t>
      </w:r>
    </w:p>
    <w:p>
      <w:pPr>
        <w:pStyle w:val="ListNumber"/>
      </w:pPr>
      <w:r>
        <w:rPr>
          <w:b w:val="0"/>
        </w:rPr>
        <w:t>Members seeking at-large appointment to the Finance Committee should also be invited to describe any experience relevant to budgeting, accounting, financial controls, forecasting, audit, business operations, nonprofit finance, or similar practical financial stewardship.</w:t>
      </w:r>
    </w:p>
    <w:p>
      <w:pPr>
        <w:pStyle w:val="ListNumber"/>
      </w:pPr>
      <w:r>
        <w:rPr>
          <w:b w:val="0"/>
        </w:rPr>
        <w:t>Current officeholders serving in any of the roles under review shall be expressly invited to apply or reapply if they wish to continue serving, but their current service shall be treated as acting continuity only and not as automatic continuation in the permanent role.</w:t>
      </w:r>
    </w:p>
    <w:p>
      <w:pPr>
        <w:pStyle w:val="ListNumber"/>
      </w:pPr>
      <w:r>
        <w:rPr>
          <w:b w:val="0"/>
        </w:rPr>
        <w:t>The Board shall review those submissions after the thirty-day window and make officer appointments, officer selections, and Finance Committee selections based on qualifications, role fit, continuity needs, and the principle that the Board governs while officers execute.</w:t>
      </w:r>
    </w:p>
    <w:p>
      <w:pPr>
        <w:pStyle w:val="ListNumber"/>
      </w:pPr>
      <w:r>
        <w:rPr>
          <w:b w:val="0"/>
        </w:rPr>
        <w:t>Chief-level operational officer roles shall ordinarily be filled by qualified members who are not sitting Directors.</w:t>
      </w:r>
    </w:p>
    <w:p>
      <w:pPr>
        <w:pStyle w:val="ListNumber"/>
      </w:pPr>
      <w:r>
        <w:rPr>
          <w:b w:val="0"/>
        </w:rPr>
        <w:t>No sitting Director shall be appointed or reappointed to a chief-level operational officer role except by a separate Board finding that:</w:t>
      </w:r>
    </w:p>
    <w:p>
      <w:r>
        <w:rPr>
          <w:b w:val="0"/>
        </w:rPr>
        <w:t>a. a specific continuity need exists;</w:t>
      </w:r>
    </w:p>
    <w:p>
      <w:r>
        <w:rPr>
          <w:b w:val="0"/>
        </w:rPr>
        <w:t>b. a qualified non-Director member was not reasonably available at the time of appointment; and</w:t>
      </w:r>
    </w:p>
    <w:p>
      <w:r>
        <w:rPr>
          <w:b w:val="0"/>
        </w:rPr>
        <w:t>c. the appointment includes a fixed sunset date.</w:t>
      </w:r>
    </w:p>
    <w:p>
      <w:pPr>
        <w:pStyle w:val="ListNumber"/>
      </w:pPr>
      <w:r>
        <w:rPr>
          <w:b w:val="0"/>
        </w:rPr>
        <w:t>In reviewing applicants for chief-level operational roles, the Board shall repeat and apply the governance principle that the Board governs, officers execute, and the same individual should not ordinarily hold both centers of responsibility at the same time.</w:t>
      </w:r>
    </w:p>
    <w:p>
      <w:pPr>
        <w:pStyle w:val="ListNumber"/>
      </w:pPr>
      <w:r>
        <w:rPr>
          <w:b w:val="0"/>
        </w:rPr>
        <w:t>The Board expresses a preference, where reasonably possible, for appointing qualified members who are not sitting Directors to at-large Finance Committee seats as well.</w:t>
      </w:r>
    </w:p>
    <w:p>
      <w:pPr>
        <w:pStyle w:val="Heading2"/>
      </w:pPr>
      <w:r>
        <w:rPr>
          <w:b w:val="0"/>
        </w:rPr>
        <w:t>Submission note</w:t>
      </w:r>
    </w:p>
    <w:p>
      <w:r>
        <w:rPr>
          <w:b w:val="0"/>
        </w:rPr>
        <w:t>This motion is designed to make officer appointments and Finance Committee selection more open, more understandable to members, and more legitimate. It also makes clearer that chief-level operational roles should ordinarily be separated from sitting Board seats, because Dallas Makerspace works better when the Board governs, officers execute, and members can tell which role a person is acting under at any given time. The motion invites current officeholders to apply if they want to continue serving, but it treats present service as acting continuity rather than automatic permanence. It gives the incoming Board a real applicant pool instead of relying on informal carry-forward assumptions or last-minute internal selection, while recognizing that the Chief Technology Officer role has already been separately advertised and may be handled through that existing response process unless the Board chooses to reopen it.</w:t>
      </w:r>
    </w:p>
    <w:sectPr w:rsidR="00FC693F" w:rsidRPr="0006063C" w:rsidSect="00034616">
      <w:footerReference w:type="default" r:id="rId9"/>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panose1 w:val="00000000000000000000"/>
    <w:charset w:val="80"/>
    <w:family w:val="modern"/>
    <w:notTrueType/>
    <w:pitch w:val="fixed"/>
    <w:sig w:usb0="00000001" w:usb1="08070000" w:usb2="00000010" w:usb3="00000000" w:csb0="00020000" w:csb1="00000000"/>
  </w:font>
  <w:font w:name="Courier">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m="http://schemas.openxmlformats.org/officeDocument/2006/math" xmlns:mc="http://schemas.openxmlformats.org/markup-compatibility/2006" xmlns:mo="http://schemas.microsoft.com/office/mac/office/2008/main" xmlns:mv="urn:schemas-microsoft-com:mac:vml" xmlns:o="urn:schemas-microsoft-com:office:office" xmlns:r="http://schemas.openxmlformats.org/officeDocument/2006/relationships" xmlns:v="urn:schemas-microsoft-com:vml" xmlns:w10="urn:schemas-microsoft-com:office:word" xmlns:w14="http://schemas.microsoft.com/office/word/2010/wordml" xmlns:w="http://schemas.openxmlformats.org/wordprocessingml/2006/main" xmlns:wne="http://schemas.microsoft.com/office/word/2006/wordml" xmlns:wp14="http://schemas.microsoft.com/office/word/2010/wordprocessingDrawing" xmlns:wp="http://schemas.openxmlformats.org/drawingml/2006/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mc:Ignorable="w14 wp14">
  <w:p>
    <w:pPr>
      <w:pStyle w:val="Footer"/>
      <w:tabs>
        <w:tab w:pos="8640" w:val="right"/>
      </w:tabs>
      <w:jc w:val="left"/>
    </w:pPr>
    <w:r>
      <w:t>Open Call for All Officer and Finance Committee Statements of Interest</w:t>
    </w:r>
    <w:r>
      <w:tab/>
      <w:t xml:space="preserve">Page </w:t>
    </w:r>
    <w:r>
      <w:fldChar w:fldCharType="begin"/>
      <w:instrText xml:space="preserve"> PAGE </w:instrText>
      <w:fldChar w:fldCharType="separate"/>
      <w:fldChar w:fldCharType="end"/>
    </w:r>
  </w:p>
</w:ft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310EC42"/>
    <w:lvl w:ilvl="0">
      <w:start w:val="1"/>
      <w:numFmt w:val="decimal"/>
      <w:lvlText w:val="%1."/>
      <w:lvlJc w:val="left"/>
      <w:pPr>
        <w:tabs>
          <w:tab w:val="num" w:pos="1800"/>
        </w:tabs>
        <w:ind w:left="1800" w:hanging="360"/>
      </w:pPr>
    </w:lvl>
  </w:abstractNum>
  <w:abstractNum w:abstractNumId="1">
    <w:nsid w:val="FFFFFF7D"/>
    <w:multiLevelType w:val="singleLevel"/>
    <w:tmpl w:val="E4089024"/>
    <w:lvl w:ilvl="0">
      <w:start w:val="1"/>
      <w:numFmt w:val="decimal"/>
      <w:lvlText w:val="%1."/>
      <w:lvlJc w:val="left"/>
      <w:pPr>
        <w:tabs>
          <w:tab w:val="num" w:pos="1440"/>
        </w:tabs>
        <w:ind w:left="1440" w:hanging="360"/>
      </w:pPr>
    </w:lvl>
  </w:abstractNum>
  <w:abstractNum w:abstractNumId="2">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2406206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tblBorders>
      <w:tblCellMar>
        <w:top w:w="0" w:type="dxa"/>
        <w:left w:w="108" w:type="dxa"/>
        <w:bottom w:w="0" w:type="dxa"/>
        <w:right w:w="108" w:type="dxa"/>
      </w:tblCellMar>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CellMar>
        <w:top w:w="0" w:type="dxa"/>
        <w:left w:w="108" w:type="dxa"/>
        <w:bottom w:w="0" w:type="dxa"/>
        <w:right w:w="108" w:type="dxa"/>
      </w:tblCellMar>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CellMar>
        <w:top w:w="0" w:type="dxa"/>
        <w:left w:w="108" w:type="dxa"/>
        <w:bottom w:w="0" w:type="dxa"/>
        <w:right w:w="108" w:type="dxa"/>
      </w:tblCellMar>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Ind w:w="0" w:type="dxa"/>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CellMar>
        <w:top w:w="0" w:type="dxa"/>
        <w:left w:w="108" w:type="dxa"/>
        <w:bottom w:w="0" w:type="dxa"/>
        <w:right w:w="108" w:type="dxa"/>
      </w:tblCellMar>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Ind w:w="0" w:type="dxa"/>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CellMar>
        <w:top w:w="0" w:type="dxa"/>
        <w:left w:w="108" w:type="dxa"/>
        <w:bottom w:w="0" w:type="dxa"/>
        <w:right w:w="108" w:type="dxa"/>
      </w:tblCellMar>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CellMar>
        <w:top w:w="0" w:type="dxa"/>
        <w:left w:w="108" w:type="dxa"/>
        <w:bottom w:w="0" w:type="dxa"/>
        <w:right w:w="108" w:type="dxa"/>
      </w:tblCellMar>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Ind w:w="0" w:type="dxa"/>
      <w:tblCellMar>
        <w:top w:w="0" w:type="dxa"/>
        <w:left w:w="108" w:type="dxa"/>
        <w:bottom w:w="0" w:type="dxa"/>
        <w:right w:w="108" w:type="dxa"/>
      </w:tblCellMar>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Ind w:w="0" w:type="dxa"/>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0</Characters>
  <Application>Microsoft Macintosh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Open Call for All Officer and Finance Committee Statements of Interest</dc:title>
  <dc:subject/>
  <dc:creator>python-docx</dc:creator>
  <cp:keywords/>
  <dc:description>generated by python-docx</dc:description>
  <cp:lastModifiedBy/>
  <cp:revision>1</cp:revision>
  <dcterms:created xsi:type="dcterms:W3CDTF">2013-12-23T23:15:00Z</dcterms:created>
  <dcterms:modified xsi:type="dcterms:W3CDTF">2013-12-23T23:15:00Z</dcterms:modified>
  <cp:category/>
</cp:coreProperties>
</file>